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年度部门整体绩效自评表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鄂州市退役军人事务局</w:t>
      </w:r>
      <w:r>
        <w:rPr>
          <w:rFonts w:ascii="楷体_GB2312" w:hAnsi="仿宋" w:eastAsia="楷体_GB2312" w:cs="楷体_GB2312"/>
          <w:kern w:val="0"/>
          <w:sz w:val="24"/>
          <w:szCs w:val="24"/>
        </w:rPr>
        <w:t xml:space="preserve">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2023年5月9日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738"/>
        <w:gridCol w:w="579"/>
        <w:gridCol w:w="1466"/>
        <w:gridCol w:w="13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420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鄂州市退役军人事务局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179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2902.18万元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2746.75万元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6015.47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5648.93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93.91%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18.8分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7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" w:lineRule="atLeast"/>
              <w:ind w:left="0" w:right="0" w:firstLine="42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（一）继续开展强基工程，健全基层服务体系。编制好、实施好《鄂州市退役军人事务“十四五”规划》，夯实退役军人工作发展根基。对标对表助推全市391个服务中心（站）提档升级，切实为退役军人带好路、服好务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　　（二）继续开展暖心解困工程，传递关心关爱。做好常态化疫情防控工作，以扶优济困为原则，加大走访慰问帮扶力度，持续开展解“四难”活动，真正为退役军人办实事、解难事。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　　（三）继续开展双拥创建工程，巩固军政团结。在省级双拥模范城的基础上，积极争创全国双拥模范城，认真落实各项优待政策和基本优待目录清单，扎实开展双拥共建，让军人军属安心、放心、暖心。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" w:lineRule="atLeast"/>
              <w:ind w:left="0" w:right="0" w:firstLine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　　（四）开展宣传引导工程，营造良好氛围。继续宣传好、贯彻好《退役军人保障法》，开展好党史、军史教育以及英烈褒扬纪念活动和“最美退役军人”培树活动，激发群众的爱国爱党爱军热情。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优抚对象抚恤补助资金发放人数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7707人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7646人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4.95分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享受医疗待遇优抚对象人数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7707人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7646人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4.95分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保障义务兵家庭数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547户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547户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自主就业士兵参加免费教育培训人数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193人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193人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安置符合政府安排工作条件退役士官人数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34人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34人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补助军队离退休干部人数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25人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25人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补助无军籍职工人数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1人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发放自主就业退役士兵一次性经济补助人数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255人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255人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困难帮扶数量（人次）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500人次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680人次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发放企业军转干部困难补助人数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518人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518人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发放1-4级分散供养残疾退役士兵购（建）房补助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1人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完成优抚事业单位维修改造面积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590平方米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tabs>
                <w:tab w:val="left" w:pos="308"/>
              </w:tabs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590平方米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完成年度征兵任务，缩小各地义务兵家庭优待金标准差异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提高优抚对象生活水平，改善优抚对象医疗难问题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tabs>
                <w:tab w:val="left" w:pos="308"/>
              </w:tabs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落实军队离退休人员、无军籍职工各项待遇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全市退役军人满意度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基本满意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基本满意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98.7分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7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优抚对象补助经费实际发放人数未达到计划值的100%，原因是优抚对象因去世、迁出等原因自然减员。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7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根据历年优抚对象自然减员历史数据，更加精确测算下年度优抚对象减员数，进一步准确测算下年度预算资金，提高预算资金执行率；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2、加强与上级部门沟通，在上级转移支付资金及时足额下达的前提下，确保下年度本级预算资金充足；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、我们将以此次专项绩效自评为契机，既做到严格执行有关军休干部生活待遇的政策、文件规定的标准，保证军休干部两个待遇的落实，又要加强个性化服务，针对本年军队离退休人员的实际情况，因势利导，变军休人员被动服务为主动配合，变工作人员单方工作为工休共同努力，既保证中央资金的有序高效运转，又能通过资金带动更多的社会效益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备注：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1.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2.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X,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*B/A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*A/B）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，得分不得突破权重总额。定量指标先汇总完成数，再计算得分。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3.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0"/>
          <w:szCs w:val="20"/>
        </w:rPr>
        <w:t>100-80%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80-50%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50-0%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合理确定分值。汇总时，以资金额度为权重，对分值进行加权平均计算。</w:t>
      </w:r>
    </w:p>
    <w:p>
      <w:pPr>
        <w:widowControl/>
        <w:ind w:firstLine="400" w:firstLineChars="200"/>
        <w:rPr>
          <w:rFonts w:hint="eastAsia" w:ascii="仿宋_GB2312" w:hAnsi="宋体" w:eastAsia="仿宋_GB2312" w:cs="仿宋_GB2312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4.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基于经济性和必要性等因素考虑，满意度指标暂可不作为必评指标。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Times New Roman" w:hAnsi="Times New Roman"/>
        <w:sz w:val="24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OTQxZTIzOTcxYWJhOGM3NmJkOWJmNDkzN2MwNzAifQ=="/>
  </w:docVars>
  <w:rsids>
    <w:rsidRoot w:val="298F1008"/>
    <w:rsid w:val="03802AE2"/>
    <w:rsid w:val="03C055D4"/>
    <w:rsid w:val="062771B9"/>
    <w:rsid w:val="08C276F9"/>
    <w:rsid w:val="09B94A31"/>
    <w:rsid w:val="0CDD71F7"/>
    <w:rsid w:val="10060813"/>
    <w:rsid w:val="109B71AD"/>
    <w:rsid w:val="12333415"/>
    <w:rsid w:val="16B305C2"/>
    <w:rsid w:val="195E521C"/>
    <w:rsid w:val="1A3D42AF"/>
    <w:rsid w:val="1B446693"/>
    <w:rsid w:val="1D5F2E99"/>
    <w:rsid w:val="26482811"/>
    <w:rsid w:val="28230630"/>
    <w:rsid w:val="290F02E0"/>
    <w:rsid w:val="298F1008"/>
    <w:rsid w:val="2DB34BE1"/>
    <w:rsid w:val="2FA24BF0"/>
    <w:rsid w:val="325B27ED"/>
    <w:rsid w:val="33395900"/>
    <w:rsid w:val="340A030F"/>
    <w:rsid w:val="345C0152"/>
    <w:rsid w:val="352F138A"/>
    <w:rsid w:val="37F11BD4"/>
    <w:rsid w:val="37FA4C6B"/>
    <w:rsid w:val="38451629"/>
    <w:rsid w:val="39C26A4B"/>
    <w:rsid w:val="3B0C4680"/>
    <w:rsid w:val="40730CFD"/>
    <w:rsid w:val="41DA5CD4"/>
    <w:rsid w:val="44B06125"/>
    <w:rsid w:val="456E3A32"/>
    <w:rsid w:val="45895274"/>
    <w:rsid w:val="46F54B62"/>
    <w:rsid w:val="474E4F60"/>
    <w:rsid w:val="47C377E8"/>
    <w:rsid w:val="47D91395"/>
    <w:rsid w:val="4AF55F4B"/>
    <w:rsid w:val="4D54654F"/>
    <w:rsid w:val="4F3E0943"/>
    <w:rsid w:val="4FAA0DE7"/>
    <w:rsid w:val="51D3784E"/>
    <w:rsid w:val="5D1458EA"/>
    <w:rsid w:val="5D9B5432"/>
    <w:rsid w:val="6068752D"/>
    <w:rsid w:val="620328F3"/>
    <w:rsid w:val="65F132BD"/>
    <w:rsid w:val="67654F94"/>
    <w:rsid w:val="67C27DD9"/>
    <w:rsid w:val="6D883499"/>
    <w:rsid w:val="6DEB4F2A"/>
    <w:rsid w:val="700B6767"/>
    <w:rsid w:val="70B118E8"/>
    <w:rsid w:val="723730A1"/>
    <w:rsid w:val="744319D3"/>
    <w:rsid w:val="77495656"/>
    <w:rsid w:val="77F04406"/>
    <w:rsid w:val="783764D9"/>
    <w:rsid w:val="790069BE"/>
    <w:rsid w:val="7F8738A2"/>
    <w:rsid w:val="7FA8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1600</Words>
  <Characters>1748</Characters>
  <Lines>0</Lines>
  <Paragraphs>0</Paragraphs>
  <TotalTime>32</TotalTime>
  <ScaleCrop>false</ScaleCrop>
  <LinksUpToDate>false</LinksUpToDate>
  <CharactersWithSpaces>1760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2023-04-21T08:24:00Z</dcterms:created>
  <dc:creator>活着的滋味</dc:creator>
  <cp:lastModifiedBy>财务</cp:lastModifiedBy>
  <dcterms:modified xsi:type="dcterms:W3CDTF">2023-05-11T07:17:10Z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7E7C74E2FAB74CEFA721CE527BFA7D60_13</vt:lpwstr>
  </property>
</Properties>
</file>